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C2" w:rsidRDefault="005352C2" w:rsidP="005352C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board of directors of Southwest Manufacturing Company recently approved the company’s budget and production plan for its coming fiscal year, </w:t>
      </w:r>
      <w:proofErr w:type="spellStart"/>
      <w:r>
        <w:rPr>
          <w:rFonts w:ascii="Arial" w:hAnsi="Arial" w:cs="Arial"/>
          <w:sz w:val="22"/>
          <w:szCs w:val="22"/>
        </w:rPr>
        <w:t>20X7</w:t>
      </w:r>
      <w:proofErr w:type="spellEnd"/>
      <w:r>
        <w:rPr>
          <w:rFonts w:ascii="Arial" w:hAnsi="Arial" w:cs="Arial"/>
          <w:sz w:val="22"/>
          <w:szCs w:val="22"/>
        </w:rPr>
        <w:t>.  Budgeted units of production equal budgeted unit sales for the company’s single product.  Using the information below, included in the budget and production plan:</w:t>
      </w:r>
    </w:p>
    <w:p w:rsidR="005352C2" w:rsidRDefault="005352C2" w:rsidP="005352C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 the amount of required sales – number of units </w:t>
      </w:r>
      <w:r w:rsidRPr="002273BE">
        <w:rPr>
          <w:rFonts w:ascii="Arial" w:hAnsi="Arial" w:cs="Arial"/>
          <w:i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dollars – necessary to achieve the company’s budgeted net income for its fiscal year ended (</w:t>
      </w:r>
      <w:proofErr w:type="spellStart"/>
      <w:r>
        <w:rPr>
          <w:rFonts w:ascii="Arial" w:hAnsi="Arial" w:cs="Arial"/>
          <w:sz w:val="22"/>
          <w:szCs w:val="22"/>
        </w:rPr>
        <w:t>FYE</w:t>
      </w:r>
      <w:proofErr w:type="spellEnd"/>
      <w:r>
        <w:rPr>
          <w:rFonts w:ascii="Arial" w:hAnsi="Arial" w:cs="Arial"/>
          <w:sz w:val="22"/>
          <w:szCs w:val="22"/>
        </w:rPr>
        <w:t xml:space="preserve">) December 31, </w:t>
      </w:r>
      <w:proofErr w:type="spellStart"/>
      <w:r>
        <w:rPr>
          <w:rFonts w:ascii="Arial" w:hAnsi="Arial" w:cs="Arial"/>
          <w:sz w:val="22"/>
          <w:szCs w:val="22"/>
        </w:rPr>
        <w:t>20X7</w:t>
      </w:r>
      <w:proofErr w:type="spellEnd"/>
    </w:p>
    <w:p w:rsidR="005352C2" w:rsidRDefault="005352C2" w:rsidP="005352C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the company’s budgeted income statement for its </w:t>
      </w:r>
      <w:proofErr w:type="spellStart"/>
      <w:r>
        <w:rPr>
          <w:rFonts w:ascii="Arial" w:hAnsi="Arial" w:cs="Arial"/>
          <w:sz w:val="22"/>
          <w:szCs w:val="22"/>
        </w:rPr>
        <w:t>FYE</w:t>
      </w:r>
      <w:proofErr w:type="spellEnd"/>
      <w:r>
        <w:rPr>
          <w:rFonts w:ascii="Arial" w:hAnsi="Arial" w:cs="Arial"/>
          <w:sz w:val="22"/>
          <w:szCs w:val="22"/>
        </w:rPr>
        <w:t xml:space="preserve"> December 31, </w:t>
      </w:r>
      <w:proofErr w:type="spellStart"/>
      <w:r>
        <w:rPr>
          <w:rFonts w:ascii="Arial" w:hAnsi="Arial" w:cs="Arial"/>
          <w:sz w:val="22"/>
          <w:szCs w:val="22"/>
        </w:rPr>
        <w:t>20X7</w:t>
      </w:r>
      <w:proofErr w:type="spellEnd"/>
      <w:r>
        <w:rPr>
          <w:rFonts w:ascii="Arial" w:hAnsi="Arial" w:cs="Arial"/>
          <w:sz w:val="22"/>
          <w:szCs w:val="22"/>
        </w:rPr>
        <w:t xml:space="preserve"> using the </w:t>
      </w:r>
      <w:r w:rsidRPr="003244D9">
        <w:rPr>
          <w:rFonts w:ascii="Arial" w:hAnsi="Arial" w:cs="Arial"/>
          <w:sz w:val="22"/>
          <w:szCs w:val="22"/>
        </w:rPr>
        <w:t>Variable Costing Method (Contribution Margin Format)</w:t>
      </w:r>
      <w:r>
        <w:rPr>
          <w:rFonts w:ascii="Arial" w:hAnsi="Arial" w:cs="Arial"/>
          <w:sz w:val="22"/>
          <w:szCs w:val="22"/>
        </w:rPr>
        <w:t>.</w:t>
      </w:r>
    </w:p>
    <w:p w:rsidR="005352C2" w:rsidRPr="009F1308" w:rsidRDefault="005352C2" w:rsidP="005352C2">
      <w:pPr>
        <w:spacing w:after="120"/>
        <w:rPr>
          <w:rFonts w:ascii="Arial" w:hAnsi="Arial" w:cs="Arial"/>
          <w:i/>
          <w:sz w:val="22"/>
          <w:szCs w:val="22"/>
        </w:rPr>
      </w:pPr>
      <w:r w:rsidRPr="009F1308">
        <w:rPr>
          <w:rFonts w:ascii="Arial" w:hAnsi="Arial" w:cs="Arial"/>
          <w:i/>
          <w:sz w:val="22"/>
          <w:szCs w:val="22"/>
        </w:rPr>
        <w:t>Show all computations in good form and label properly all amounts presented.</w:t>
      </w:r>
    </w:p>
    <w:tbl>
      <w:tblPr>
        <w:tblW w:w="0" w:type="auto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ook w:val="0000" w:firstRow="0" w:lastRow="0" w:firstColumn="0" w:lastColumn="0" w:noHBand="0" w:noVBand="0"/>
      </w:tblPr>
      <w:tblGrid>
        <w:gridCol w:w="3492"/>
        <w:gridCol w:w="1246"/>
        <w:gridCol w:w="3237"/>
        <w:gridCol w:w="557"/>
        <w:gridCol w:w="1044"/>
      </w:tblGrid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FB4ACD">
              <w:rPr>
                <w:rFonts w:ascii="Arial Narrow" w:hAnsi="Arial Narrow" w:cs="Arial"/>
                <w:b/>
                <w:u w:val="single"/>
              </w:rPr>
              <w:t>Budget</w:t>
            </w:r>
            <w:r>
              <w:rPr>
                <w:rFonts w:ascii="Arial Narrow" w:hAnsi="Arial Narrow" w:cs="Arial"/>
                <w:b/>
                <w:u w:val="single"/>
              </w:rPr>
              <w:t>ed</w:t>
            </w:r>
            <w:r w:rsidRPr="00FB4ACD">
              <w:rPr>
                <w:rFonts w:ascii="Arial Narrow" w:hAnsi="Arial Narrow" w:cs="Arial"/>
                <w:b/>
                <w:u w:val="single"/>
              </w:rPr>
              <w:t xml:space="preserve"> amounts</w:t>
            </w:r>
            <w:r w:rsidRPr="00F222A5">
              <w:rPr>
                <w:rFonts w:ascii="Arial Narrow" w:hAnsi="Arial Narrow" w:cs="Arial"/>
              </w:rPr>
              <w:t>: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FB4ACD">
              <w:rPr>
                <w:rFonts w:ascii="Arial Narrow" w:hAnsi="Arial Narrow" w:cs="Arial"/>
                <w:b/>
                <w:u w:val="single"/>
              </w:rPr>
              <w:t>Budget</w:t>
            </w:r>
            <w:r>
              <w:rPr>
                <w:rFonts w:ascii="Arial Narrow" w:hAnsi="Arial Narrow" w:cs="Arial"/>
                <w:b/>
                <w:u w:val="single"/>
              </w:rPr>
              <w:t>ed</w:t>
            </w:r>
            <w:r w:rsidRPr="00FB4ACD">
              <w:rPr>
                <w:rFonts w:ascii="Arial Narrow" w:hAnsi="Arial Narrow" w:cs="Arial"/>
                <w:b/>
                <w:u w:val="single"/>
              </w:rPr>
              <w:t xml:space="preserve"> amounts</w:t>
            </w:r>
            <w:r w:rsidRPr="00F222A5">
              <w:rPr>
                <w:rFonts w:ascii="Arial Narrow" w:hAnsi="Arial Narrow" w:cs="Arial"/>
              </w:rPr>
              <w:t>:</w:t>
            </w:r>
          </w:p>
        </w:tc>
        <w:tc>
          <w:tcPr>
            <w:tcW w:w="1080" w:type="dxa"/>
            <w:shd w:val="clear" w:color="auto" w:fill="CCCCFF"/>
          </w:tcPr>
          <w:p w:rsidR="005352C2" w:rsidRPr="00CA01E1" w:rsidRDefault="005352C2" w:rsidP="00D12BE6">
            <w:pPr>
              <w:spacing w:before="60" w:after="40"/>
              <w:jc w:val="center"/>
              <w:rPr>
                <w:rFonts w:ascii="Arial Narrow" w:hAnsi="Arial Narrow" w:cs="Arial"/>
                <w:u w:val="single"/>
              </w:rPr>
            </w:pPr>
            <w:r w:rsidRPr="00CA01E1">
              <w:rPr>
                <w:rFonts w:ascii="Arial Narrow" w:hAnsi="Arial Narrow" w:cs="Arial"/>
                <w:u w:val="single"/>
              </w:rPr>
              <w:t>Per unit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D3217C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Sales units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center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?</w:t>
            </w: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Product selling price (</w:t>
            </w:r>
            <w:proofErr w:type="spellStart"/>
            <w:r>
              <w:rPr>
                <w:rFonts w:ascii="Arial Narrow" w:hAnsi="Arial Narrow" w:cs="Arial"/>
              </w:rPr>
              <w:t>SP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10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$280.00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D3217C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Sales dollars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center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?</w:t>
            </w: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CA01E1">
              <w:rPr>
                <w:rFonts w:ascii="Arial Narrow" w:hAnsi="Arial Narrow" w:cs="Arial"/>
                <w:u w:val="single"/>
              </w:rPr>
              <w:t>Variable manufacturing costs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10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 w:rsidRPr="00CA01E1">
              <w:rPr>
                <w:rFonts w:ascii="Arial Narrow" w:hAnsi="Arial Narrow" w:cs="Arial"/>
                <w:u w:val="single"/>
              </w:rPr>
              <w:t>Fixed costs</w:t>
            </w:r>
            <w:r w:rsidRPr="00F222A5">
              <w:rPr>
                <w:rFonts w:ascii="Arial Narrow" w:hAnsi="Arial Narrow" w:cs="Arial"/>
              </w:rPr>
              <w:t>: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7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Direct materials (</w:t>
            </w:r>
            <w:proofErr w:type="spellStart"/>
            <w:r>
              <w:rPr>
                <w:rFonts w:ascii="Arial Narrow" w:hAnsi="Arial Narrow" w:cs="Arial"/>
              </w:rPr>
              <w:t>DM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1080" w:type="dxa"/>
            <w:shd w:val="clear" w:color="auto" w:fill="CCCCFF"/>
          </w:tcPr>
          <w:p w:rsidR="005352C2" w:rsidRPr="008F6D73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 w:rsidRPr="008F6D73">
              <w:rPr>
                <w:rFonts w:ascii="Arial Narrow" w:hAnsi="Arial Narrow" w:cs="Arial"/>
              </w:rPr>
              <w:t>$</w:t>
            </w:r>
            <w:r>
              <w:rPr>
                <w:rFonts w:ascii="Arial Narrow" w:hAnsi="Arial Narrow" w:cs="Arial"/>
              </w:rPr>
              <w:t>62.50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180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Manufacturing overhead (</w:t>
            </w:r>
            <w:proofErr w:type="spellStart"/>
            <w:r w:rsidRPr="00F222A5">
              <w:rPr>
                <w:rFonts w:ascii="Arial Narrow" w:hAnsi="Arial Narrow" w:cs="Arial"/>
              </w:rPr>
              <w:t>MOH</w:t>
            </w:r>
            <w:proofErr w:type="spellEnd"/>
            <w:r w:rsidRPr="00F222A5">
              <w:rPr>
                <w:rFonts w:ascii="Arial Narrow" w:hAnsi="Arial Narrow" w:cs="Arial"/>
              </w:rPr>
              <w:t>) costs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$3,150,000</w:t>
            </w: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7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Direct labor (DL)</w:t>
            </w:r>
          </w:p>
        </w:tc>
        <w:tc>
          <w:tcPr>
            <w:tcW w:w="10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$52.00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1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Selling and administrative (</w:t>
            </w:r>
            <w:proofErr w:type="spellStart"/>
            <w:r>
              <w:rPr>
                <w:rFonts w:ascii="Arial Narrow" w:hAnsi="Arial Narrow" w:cs="Arial"/>
              </w:rPr>
              <w:t>S&amp;A</w:t>
            </w:r>
            <w:proofErr w:type="spellEnd"/>
            <w:r>
              <w:rPr>
                <w:rFonts w:ascii="Arial Narrow" w:hAnsi="Arial Narrow" w:cs="Arial"/>
              </w:rPr>
              <w:t>) costs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$3,375,000</w:t>
            </w: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72"/>
              <w:rPr>
                <w:rFonts w:ascii="Arial Narrow" w:hAnsi="Arial Narrow" w:cs="Arial"/>
              </w:rPr>
            </w:pPr>
            <w:r w:rsidRPr="00F222A5">
              <w:rPr>
                <w:rFonts w:ascii="Arial Narrow" w:hAnsi="Arial Narrow" w:cs="Arial"/>
              </w:rPr>
              <w:t>Manufacturing overhead (</w:t>
            </w:r>
            <w:proofErr w:type="spellStart"/>
            <w:r w:rsidRPr="00F222A5">
              <w:rPr>
                <w:rFonts w:ascii="Arial Narrow" w:hAnsi="Arial Narrow" w:cs="Arial"/>
              </w:rPr>
              <w:t>MOH</w:t>
            </w:r>
            <w:proofErr w:type="spellEnd"/>
            <w:r w:rsidRPr="00F222A5">
              <w:rPr>
                <w:rFonts w:ascii="Arial Narrow" w:hAnsi="Arial Narrow" w:cs="Arial"/>
              </w:rPr>
              <w:t>) costs</w:t>
            </w:r>
          </w:p>
        </w:tc>
        <w:tc>
          <w:tcPr>
            <w:tcW w:w="10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$75.50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ind w:left="1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Research and development (R&amp;D) costs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$2,250,000</w:t>
            </w:r>
          </w:p>
        </w:tc>
        <w:tc>
          <w:tcPr>
            <w:tcW w:w="45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Variable selling and admin. (</w:t>
            </w:r>
            <w:proofErr w:type="spellStart"/>
            <w:r>
              <w:rPr>
                <w:rFonts w:ascii="Arial Narrow" w:hAnsi="Arial Narrow" w:cs="Arial"/>
              </w:rPr>
              <w:t>S&amp;A</w:t>
            </w:r>
            <w:proofErr w:type="spellEnd"/>
            <w:r>
              <w:rPr>
                <w:rFonts w:ascii="Arial Narrow" w:hAnsi="Arial Narrow" w:cs="Arial"/>
              </w:rPr>
              <w:t>) costs</w:t>
            </w:r>
          </w:p>
        </w:tc>
        <w:tc>
          <w:tcPr>
            <w:tcW w:w="10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 w:rsidRPr="008F6D73">
              <w:rPr>
                <w:rFonts w:ascii="Arial Narrow" w:hAnsi="Arial Narrow" w:cs="Arial"/>
              </w:rPr>
              <w:t>$</w:t>
            </w:r>
            <w:r>
              <w:rPr>
                <w:rFonts w:ascii="Arial Narrow" w:hAnsi="Arial Narrow" w:cs="Arial"/>
              </w:rPr>
              <w:t>50.00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4068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Net income</w:t>
            </w:r>
          </w:p>
        </w:tc>
        <w:tc>
          <w:tcPr>
            <w:tcW w:w="126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$2,835,000</w:t>
            </w:r>
          </w:p>
        </w:tc>
        <w:tc>
          <w:tcPr>
            <w:tcW w:w="3780" w:type="dxa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Estimated combined effective tax rate</w:t>
            </w:r>
          </w:p>
        </w:tc>
        <w:tc>
          <w:tcPr>
            <w:tcW w:w="1800" w:type="dxa"/>
            <w:gridSpan w:val="2"/>
            <w:shd w:val="clear" w:color="auto" w:fill="CCCCFF"/>
          </w:tcPr>
          <w:p w:rsidR="005352C2" w:rsidRPr="00F222A5" w:rsidRDefault="005352C2" w:rsidP="00D12BE6">
            <w:pPr>
              <w:spacing w:before="60" w:after="4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40.0% (i.e., 0.40)</w:t>
            </w:r>
          </w:p>
        </w:tc>
      </w:tr>
    </w:tbl>
    <w:p w:rsidR="005352C2" w:rsidRDefault="005352C2" w:rsidP="005352C2"/>
    <w:p w:rsidR="005352C2" w:rsidRDefault="005352C2" w:rsidP="005352C2">
      <w:r>
        <w:br w:type="page"/>
      </w:r>
    </w:p>
    <w:tbl>
      <w:tblPr>
        <w:tblW w:w="0" w:type="auto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ook w:val="0000" w:firstRow="0" w:lastRow="0" w:firstColumn="0" w:lastColumn="0" w:noHBand="0" w:noVBand="0"/>
      </w:tblPr>
      <w:tblGrid>
        <w:gridCol w:w="1790"/>
        <w:gridCol w:w="1391"/>
        <w:gridCol w:w="1682"/>
        <w:gridCol w:w="739"/>
        <w:gridCol w:w="725"/>
        <w:gridCol w:w="633"/>
        <w:gridCol w:w="1149"/>
        <w:gridCol w:w="1467"/>
      </w:tblGrid>
      <w:tr w:rsidR="005352C2" w:rsidRPr="00F222A5" w:rsidTr="00D12BE6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0908" w:type="dxa"/>
            <w:gridSpan w:val="8"/>
            <w:shd w:val="clear" w:color="auto" w:fill="FFCC99"/>
          </w:tcPr>
          <w:p w:rsidR="005352C2" w:rsidRPr="00A05C0B" w:rsidRDefault="005352C2" w:rsidP="005352C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Amount of required sales – number of units </w:t>
            </w:r>
            <w:r w:rsidRPr="002273BE">
              <w:rPr>
                <w:rFonts w:ascii="Arial" w:hAnsi="Arial" w:cs="Arial"/>
                <w:i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dollars – necessary to achieve the company’s budgeted net income for its fiscal year ended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FYE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December 31,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20X7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ind w:left="18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ind w:left="18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ind w:left="72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ind w:left="18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ind w:left="116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ind w:left="18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ind w:left="116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ind w:left="116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ind w:left="116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2088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rPr>
                <w:color w:val="00008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sz w:val="22"/>
                <w:szCs w:val="22"/>
              </w:rPr>
            </w:pP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  <w:tcBorders>
              <w:bottom w:val="single" w:sz="2" w:space="0" w:color="666699"/>
            </w:tcBorders>
            <w:shd w:val="clear" w:color="auto" w:fill="FFCC99"/>
          </w:tcPr>
          <w:p w:rsidR="005352C2" w:rsidRPr="009F1308" w:rsidRDefault="005352C2" w:rsidP="005352C2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the company’s budgeted income statement for its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FYE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December 31,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20X7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using the </w:t>
            </w:r>
            <w:r w:rsidRPr="003244D9">
              <w:rPr>
                <w:rFonts w:ascii="Arial" w:hAnsi="Arial" w:cs="Arial"/>
                <w:sz w:val="22"/>
                <w:szCs w:val="22"/>
              </w:rPr>
              <w:t>Variable Costing Method (Contribution Margin Format)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center"/>
            </w:pPr>
            <w:r w:rsidRPr="000C5C3B">
              <w:t>Southwest Manufacturing Company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center"/>
            </w:pPr>
            <w:r w:rsidRPr="000C5C3B">
              <w:t>Budgeted Income Statement</w:t>
            </w: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center"/>
            </w:pPr>
            <w:r w:rsidRPr="000C5C3B">
              <w:t xml:space="preserve">Fiscal year ended December 31, </w:t>
            </w:r>
            <w:proofErr w:type="spellStart"/>
            <w:r w:rsidRPr="000C5C3B">
              <w:t>20X7</w:t>
            </w:r>
            <w:proofErr w:type="spellEnd"/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</w:tcPr>
          <w:p w:rsidR="005352C2" w:rsidRPr="000C5C3B" w:rsidRDefault="005352C2" w:rsidP="00D12BE6">
            <w:pPr>
              <w:rPr>
                <w:color w:val="000080"/>
              </w:rPr>
            </w:pPr>
          </w:p>
        </w:tc>
      </w:tr>
      <w:tr w:rsidR="005352C2" w:rsidRPr="00F222A5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tcBorders>
              <w:bottom w:val="single" w:sz="2" w:space="0" w:color="666699"/>
            </w:tcBorders>
            <w:shd w:val="clear" w:color="auto" w:fill="D5D5FF"/>
          </w:tcPr>
          <w:p w:rsidR="005352C2" w:rsidRPr="000C5C3B" w:rsidRDefault="005352C2" w:rsidP="00D12BE6">
            <w:pPr>
              <w:spacing w:before="60" w:after="60"/>
            </w:pPr>
          </w:p>
        </w:tc>
        <w:tc>
          <w:tcPr>
            <w:tcW w:w="1484" w:type="dxa"/>
            <w:gridSpan w:val="2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center"/>
              <w:rPr>
                <w:u w:val="single"/>
              </w:rPr>
            </w:pPr>
            <w:r w:rsidRPr="000C5C3B">
              <w:rPr>
                <w:u w:val="single"/>
              </w:rPr>
              <w:t>Units:</w:t>
            </w:r>
          </w:p>
        </w:tc>
        <w:tc>
          <w:tcPr>
            <w:tcW w:w="1260" w:type="dxa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right"/>
              <w:rPr>
                <w:u w:val="single"/>
              </w:rPr>
            </w:pPr>
            <w:r w:rsidRPr="000C5C3B">
              <w:rPr>
                <w:u w:val="single"/>
              </w:rPr>
              <w:t>Per unit:</w:t>
            </w:r>
          </w:p>
        </w:tc>
        <w:tc>
          <w:tcPr>
            <w:tcW w:w="1620" w:type="dxa"/>
            <w:shd w:val="clear" w:color="auto" w:fill="D5D5FF"/>
          </w:tcPr>
          <w:p w:rsidR="005352C2" w:rsidRPr="000C5C3B" w:rsidRDefault="005352C2" w:rsidP="00D12BE6">
            <w:pPr>
              <w:spacing w:before="60" w:after="60"/>
              <w:jc w:val="right"/>
              <w:rPr>
                <w:u w:val="single"/>
              </w:rPr>
            </w:pPr>
            <w:r w:rsidRPr="000C5C3B">
              <w:rPr>
                <w:u w:val="single"/>
              </w:rPr>
              <w:t>Total:</w:t>
            </w: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tcBorders>
              <w:bottom w:val="single" w:sz="2" w:space="0" w:color="666699"/>
            </w:tcBorders>
            <w:shd w:val="clear" w:color="auto" w:fill="D5D5FF"/>
          </w:tcPr>
          <w:p w:rsidR="005352C2" w:rsidRPr="005D61AD" w:rsidRDefault="005352C2" w:rsidP="00D12BE6">
            <w:pPr>
              <w:spacing w:before="60" w:after="60"/>
            </w:pPr>
            <w:r w:rsidRPr="005D61AD">
              <w:t>Sales</w:t>
            </w:r>
          </w:p>
        </w:tc>
        <w:tc>
          <w:tcPr>
            <w:tcW w:w="1484" w:type="dxa"/>
            <w:gridSpan w:val="2"/>
          </w:tcPr>
          <w:p w:rsidR="005352C2" w:rsidRPr="005D61AD" w:rsidRDefault="005352C2" w:rsidP="00D12BE6">
            <w:pPr>
              <w:spacing w:before="60" w:after="60"/>
              <w:jc w:val="center"/>
              <w:rPr>
                <w:color w:val="000080"/>
              </w:rPr>
            </w:pPr>
          </w:p>
        </w:tc>
        <w:tc>
          <w:tcPr>
            <w:tcW w:w="1260" w:type="dxa"/>
          </w:tcPr>
          <w:p w:rsidR="005352C2" w:rsidRPr="005D61AD" w:rsidRDefault="005352C2" w:rsidP="00D12BE6">
            <w:pPr>
              <w:rPr>
                <w:color w:val="000080"/>
              </w:rPr>
            </w:pPr>
            <w:r w:rsidRPr="005D61AD">
              <w:rPr>
                <w:color w:val="000080"/>
              </w:rPr>
              <w:t>$</w:t>
            </w: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  <w:r w:rsidRPr="005D61AD">
              <w:rPr>
                <w:color w:val="000080"/>
              </w:rPr>
              <w:t>$</w:t>
            </w: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tcBorders>
              <w:bottom w:val="single" w:sz="2" w:space="0" w:color="666699"/>
            </w:tcBorders>
            <w:shd w:val="clear" w:color="auto" w:fill="D5D5FF"/>
          </w:tcPr>
          <w:p w:rsidR="005352C2" w:rsidRPr="005D61AD" w:rsidRDefault="005352C2" w:rsidP="00D12BE6">
            <w:pPr>
              <w:spacing w:before="60" w:after="60"/>
            </w:pPr>
            <w:r w:rsidRPr="005D61AD">
              <w:t>Variable expenses:</w:t>
            </w:r>
          </w:p>
        </w:tc>
        <w:tc>
          <w:tcPr>
            <w:tcW w:w="4364" w:type="dxa"/>
            <w:gridSpan w:val="4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shd w:val="clear" w:color="auto" w:fill="D5D5FF"/>
          </w:tcPr>
          <w:p w:rsidR="005352C2" w:rsidRPr="005D61AD" w:rsidRDefault="005352C2" w:rsidP="00D12BE6">
            <w:pPr>
              <w:spacing w:before="60" w:after="60"/>
              <w:ind w:left="360"/>
            </w:pPr>
            <w:r w:rsidRPr="005D61AD">
              <w:t>Cost of goods sold</w:t>
            </w:r>
          </w:p>
        </w:tc>
        <w:tc>
          <w:tcPr>
            <w:tcW w:w="1484" w:type="dxa"/>
            <w:gridSpan w:val="2"/>
          </w:tcPr>
          <w:p w:rsidR="005352C2" w:rsidRPr="005D61AD" w:rsidRDefault="005352C2" w:rsidP="00D12BE6">
            <w:pPr>
              <w:spacing w:before="60" w:after="60"/>
              <w:jc w:val="center"/>
              <w:rPr>
                <w:color w:val="000080"/>
              </w:rPr>
            </w:pPr>
          </w:p>
        </w:tc>
        <w:tc>
          <w:tcPr>
            <w:tcW w:w="1260" w:type="dxa"/>
          </w:tcPr>
          <w:p w:rsidR="005352C2" w:rsidRPr="005D61AD" w:rsidRDefault="005352C2" w:rsidP="00D12BE6">
            <w:pPr>
              <w:rPr>
                <w:color w:val="000080"/>
              </w:rPr>
            </w:pPr>
            <w:r w:rsidRPr="005D61AD">
              <w:rPr>
                <w:color w:val="000080"/>
              </w:rPr>
              <w:t>$</w:t>
            </w: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ind w:left="360"/>
              <w:rPr>
                <w:color w:val="000080"/>
              </w:rPr>
            </w:pPr>
          </w:p>
        </w:tc>
        <w:tc>
          <w:tcPr>
            <w:tcW w:w="1484" w:type="dxa"/>
            <w:gridSpan w:val="2"/>
          </w:tcPr>
          <w:p w:rsidR="005352C2" w:rsidRPr="005D61AD" w:rsidRDefault="005352C2" w:rsidP="00D12BE6">
            <w:pPr>
              <w:spacing w:before="60" w:after="60"/>
              <w:jc w:val="center"/>
              <w:rPr>
                <w:color w:val="000080"/>
              </w:rPr>
            </w:pPr>
          </w:p>
        </w:tc>
        <w:tc>
          <w:tcPr>
            <w:tcW w:w="1260" w:type="dxa"/>
          </w:tcPr>
          <w:p w:rsidR="005352C2" w:rsidRPr="005D61AD" w:rsidRDefault="005352C2" w:rsidP="00D12BE6">
            <w:pPr>
              <w:rPr>
                <w:color w:val="000080"/>
                <w:u w:val="single"/>
              </w:rPr>
            </w:pPr>
            <w:r w:rsidRPr="005D61AD">
              <w:rPr>
                <w:color w:val="000080"/>
                <w:u w:val="single"/>
              </w:rPr>
              <w:t>$</w:t>
            </w: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u w:val="single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  <w:shd w:val="clear" w:color="auto" w:fill="D5D5FF"/>
          </w:tcPr>
          <w:p w:rsidR="005352C2" w:rsidRPr="005D61AD" w:rsidRDefault="005352C2" w:rsidP="00D12BE6">
            <w:pPr>
              <w:spacing w:before="60" w:after="60"/>
              <w:ind w:left="360"/>
            </w:pPr>
            <w:r w:rsidRPr="005D61AD">
              <w:t>Total variable expenses</w:t>
            </w:r>
          </w:p>
        </w:tc>
        <w:tc>
          <w:tcPr>
            <w:tcW w:w="1484" w:type="dxa"/>
            <w:gridSpan w:val="2"/>
          </w:tcPr>
          <w:p w:rsidR="005352C2" w:rsidRPr="005D61AD" w:rsidRDefault="005352C2" w:rsidP="00D12BE6">
            <w:pPr>
              <w:spacing w:before="60" w:after="60"/>
              <w:jc w:val="center"/>
              <w:rPr>
                <w:color w:val="000080"/>
              </w:rPr>
            </w:pPr>
          </w:p>
        </w:tc>
        <w:tc>
          <w:tcPr>
            <w:tcW w:w="1260" w:type="dxa"/>
          </w:tcPr>
          <w:p w:rsidR="005352C2" w:rsidRPr="005D61AD" w:rsidRDefault="005352C2" w:rsidP="00D12BE6">
            <w:pPr>
              <w:rPr>
                <w:color w:val="000080"/>
                <w:u w:val="single"/>
              </w:rPr>
            </w:pPr>
            <w:r w:rsidRPr="005D61AD">
              <w:rPr>
                <w:color w:val="000080"/>
                <w:u w:val="single"/>
              </w:rPr>
              <w:t>$</w:t>
            </w: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u w:val="single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6544" w:type="dxa"/>
            <w:gridSpan w:val="4"/>
          </w:tcPr>
          <w:p w:rsidR="005352C2" w:rsidRPr="005D61AD" w:rsidRDefault="005352C2" w:rsidP="00D12BE6">
            <w:pPr>
              <w:spacing w:before="60" w:after="60"/>
              <w:rPr>
                <w:color w:val="000080"/>
              </w:rPr>
            </w:pPr>
          </w:p>
        </w:tc>
        <w:tc>
          <w:tcPr>
            <w:tcW w:w="1484" w:type="dxa"/>
            <w:gridSpan w:val="2"/>
          </w:tcPr>
          <w:p w:rsidR="005352C2" w:rsidRPr="005D61AD" w:rsidRDefault="005352C2" w:rsidP="00D12BE6">
            <w:pPr>
              <w:spacing w:before="60" w:after="60"/>
              <w:jc w:val="center"/>
              <w:rPr>
                <w:color w:val="000080"/>
              </w:rPr>
            </w:pPr>
          </w:p>
        </w:tc>
        <w:tc>
          <w:tcPr>
            <w:tcW w:w="1260" w:type="dxa"/>
          </w:tcPr>
          <w:p w:rsidR="005352C2" w:rsidRPr="005D61AD" w:rsidRDefault="005352C2" w:rsidP="00D12BE6">
            <w:pPr>
              <w:rPr>
                <w:color w:val="000080"/>
              </w:rPr>
            </w:pPr>
            <w:r w:rsidRPr="005D61AD">
              <w:rPr>
                <w:color w:val="000080"/>
              </w:rPr>
              <w:t>$</w:t>
            </w: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8"/>
          </w:tcPr>
          <w:p w:rsidR="005352C2" w:rsidRPr="005D61AD" w:rsidRDefault="005352C2" w:rsidP="00D12BE6">
            <w:pPr>
              <w:spacing w:before="60" w:after="60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ind w:left="360"/>
              <w:rPr>
                <w:color w:val="000080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ind w:left="360"/>
              <w:rPr>
                <w:color w:val="000080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ind w:left="360"/>
              <w:rPr>
                <w:color w:val="000080"/>
              </w:rPr>
            </w:pPr>
          </w:p>
        </w:tc>
        <w:tc>
          <w:tcPr>
            <w:tcW w:w="1620" w:type="dxa"/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u w:val="single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rPr>
                <w:color w:val="000080"/>
              </w:rPr>
            </w:pPr>
          </w:p>
        </w:tc>
        <w:tc>
          <w:tcPr>
            <w:tcW w:w="1620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rPr>
                <w:color w:val="000080"/>
              </w:rPr>
            </w:pPr>
          </w:p>
        </w:tc>
        <w:tc>
          <w:tcPr>
            <w:tcW w:w="1620" w:type="dxa"/>
            <w:tcBorders>
              <w:bottom w:val="single" w:sz="2" w:space="0" w:color="666699"/>
            </w:tcBorders>
          </w:tcPr>
          <w:p w:rsidR="005352C2" w:rsidRPr="005D61AD" w:rsidRDefault="005352C2" w:rsidP="00D12BE6">
            <w:pPr>
              <w:spacing w:before="60" w:after="60"/>
              <w:jc w:val="right"/>
              <w:rPr>
                <w:color w:val="000080"/>
                <w:u w:val="single"/>
              </w:rPr>
            </w:pPr>
          </w:p>
        </w:tc>
      </w:tr>
      <w:tr w:rsidR="005352C2" w:rsidRPr="005D61AD" w:rsidTr="00D12BE6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7"/>
          </w:tcPr>
          <w:p w:rsidR="005352C2" w:rsidRPr="005D61AD" w:rsidRDefault="005352C2" w:rsidP="00D12BE6">
            <w:pPr>
              <w:spacing w:before="60" w:after="60"/>
              <w:rPr>
                <w:color w:val="000080"/>
              </w:rPr>
            </w:pPr>
          </w:p>
        </w:tc>
        <w:tc>
          <w:tcPr>
            <w:tcW w:w="1620" w:type="dxa"/>
            <w:tcBorders>
              <w:top w:val="single" w:sz="2" w:space="0" w:color="666699"/>
              <w:bottom w:val="single" w:sz="24" w:space="0" w:color="666699"/>
            </w:tcBorders>
          </w:tcPr>
          <w:p w:rsidR="005352C2" w:rsidRPr="005D61AD" w:rsidRDefault="005352C2" w:rsidP="00D12BE6">
            <w:pPr>
              <w:rPr>
                <w:color w:val="000080"/>
              </w:rPr>
            </w:pPr>
            <w:r w:rsidRPr="005D61AD">
              <w:rPr>
                <w:color w:val="000080"/>
              </w:rPr>
              <w:t>$</w:t>
            </w:r>
          </w:p>
        </w:tc>
      </w:tr>
    </w:tbl>
    <w:p w:rsidR="00115651" w:rsidRDefault="00115651">
      <w:bookmarkStart w:id="0" w:name="_GoBack"/>
      <w:bookmarkEnd w:id="0"/>
    </w:p>
    <w:sectPr w:rsidR="00115651" w:rsidSect="0014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66A7"/>
    <w:multiLevelType w:val="hybridMultilevel"/>
    <w:tmpl w:val="BCC44EEE"/>
    <w:lvl w:ilvl="0" w:tplc="67A822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04014E"/>
    <w:multiLevelType w:val="hybridMultilevel"/>
    <w:tmpl w:val="7A6602E0"/>
    <w:lvl w:ilvl="0" w:tplc="67A8220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C2"/>
    <w:rsid w:val="00115651"/>
    <w:rsid w:val="00147D49"/>
    <w:rsid w:val="005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6FB6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C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Macintosh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Melissa Brown</cp:lastModifiedBy>
  <cp:revision>1</cp:revision>
  <dcterms:created xsi:type="dcterms:W3CDTF">2017-09-22T16:15:00Z</dcterms:created>
  <dcterms:modified xsi:type="dcterms:W3CDTF">2017-09-22T16:15:00Z</dcterms:modified>
</cp:coreProperties>
</file>